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-15559</wp:posOffset>
            </wp:positionV>
            <wp:extent cx="2444750" cy="69151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4475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5219700</wp:posOffset>
            </wp:positionH>
            <wp:positionV relativeFrom="paragraph">
              <wp:posOffset>-12701</wp:posOffset>
            </wp:positionV>
            <wp:extent cx="1371600" cy="68580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3" w:lineRule="exact"/>
        <w:ind w:left="4454" w:right="1144" w:hanging="3251"/>
      </w:pPr>
      <w:r/>
      <w:r>
        <w:rPr baseline="0" dirty="0">
          <w:rFonts w:ascii="Trebuchet MS" w:hAnsi="Trebuchet MS" w:cs="Trebuchet MS"/>
          <w:b/>
          <w:bCs/>
          <w:color w:val="020202"/>
          <w:sz w:val="28"/>
          <w:szCs w:val="28"/>
          <w:lang w:val="pl-PL"/>
        </w:rPr>
        <w:t>Sprawozdani</w:t>
      </w:r>
      <w:r>
        <w:rPr baseline="0" dirty="0">
          <w:rFonts w:ascii="Trebuchet MS" w:hAnsi="Trebuchet MS" w:cs="Trebuchet MS"/>
          <w:b/>
          <w:bCs/>
          <w:color w:val="020202"/>
          <w:sz w:val="28"/>
          <w:szCs w:val="28"/>
          <w:lang w:val="pl-PL"/>
        </w:rPr>
        <w:t>e  </w:t>
      </w:r>
      <w:r>
        <w:rPr baseline="0" dirty="0">
          <w:rFonts w:ascii="Trebuchet MS" w:hAnsi="Trebuchet MS" w:cs="Trebuchet MS"/>
          <w:b/>
          <w:bCs/>
          <w:color w:val="020202"/>
          <w:sz w:val="28"/>
          <w:szCs w:val="28"/>
          <w:lang w:val="pl-PL"/>
        </w:rPr>
        <w:t>z </w:t>
      </w:r>
      <w:r>
        <w:rPr baseline="0" dirty="0">
          <w:rFonts w:ascii="Trebuchet MS" w:hAnsi="Trebuchet MS" w:cs="Trebuchet MS"/>
          <w:b/>
          <w:bCs/>
          <w:color w:val="020202"/>
          <w:spacing w:val="-1"/>
          <w:sz w:val="28"/>
          <w:szCs w:val="28"/>
          <w:lang w:val="pl-PL"/>
        </w:rPr>
        <w:t>działalności</w:t>
      </w:r>
      <w:r>
        <w:rPr baseline="0" dirty="0">
          <w:rFonts w:ascii="Trebuchet MS" w:hAnsi="Trebuchet MS" w:cs="Trebuchet MS"/>
          <w:b/>
          <w:bCs/>
          <w:color w:val="020202"/>
          <w:sz w:val="28"/>
          <w:szCs w:val="28"/>
          <w:lang w:val="pl-PL"/>
        </w:rPr>
        <w:t> Inspekcji Handlowej jako podmiotu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8"/>
          <w:szCs w:val="28"/>
          <w:lang w:val="pl-PL"/>
        </w:rPr>
        <w:t>ADR za 2024 r.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8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Zgodnie z art. 11 ustawy z dnia z dnia 23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września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2016 r. o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pozasądowym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rozwiązywaniu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sporów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konsumenckich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(Dz.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2016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poz.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1823),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Inspekcja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Handlowa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obowiązek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sporządzi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ć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sprawozdanie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działalności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 wojewódzkich inspektorów Inspekcji Handlowej jako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podmiotu ADR.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2" w:right="838" w:hanging="284"/>
        <w:jc w:val="both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1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Informacja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liczbie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wniosków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wszczęcie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sprawie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2"/>
          <w:sz w:val="22"/>
          <w:szCs w:val="22"/>
          <w:lang w:val="pl-PL"/>
        </w:rPr>
        <w:t>pozasądowego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sporów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konsumenckich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(wnioski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ADR),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które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wpłynęły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3"/>
          <w:sz w:val="22"/>
          <w:szCs w:val="22"/>
          <w:lang w:val="pl-PL"/>
        </w:rPr>
        <w:t>podmiotu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uprawnionego oraz wskazanie ich przedmiotu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podmiotu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uprawnionego,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którym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jest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Inspekcja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Handlowa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reprezentowana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każdym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województwie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wojewódzkiego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inspektora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Inspekcji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Handlowej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(WIIH)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wpłynęło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łącznie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6605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wniosków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Większość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wniosków, tj.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5063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dotyczyło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artykułów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przemysłowych,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w tym 1102 obuwia.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Sprzętu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RTV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AGD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dotyczyło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700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wniosków,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odzieży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672,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mebli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383,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artykułów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motoryzacyjnych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253,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sprzętu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komputerowego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161,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galanterii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76,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zabawek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23,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paliw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ciekłych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 LPG - 11, innych, nieskategoryzowanych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artykułów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przemysłowyc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h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- 1682.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Usług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dotyczyło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1542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wnioski,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tym: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usług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remontowo-budowlanych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color w:val="020202"/>
          <w:spacing w:val="-5"/>
          <w:sz w:val="22"/>
          <w:szCs w:val="22"/>
          <w:lang w:val="pl-PL"/>
        </w:rPr>
        <w:t>251,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motoryzacyjnych 73, pralniczych 35, fryzjerskich i kosmetycznych 43, gastronomicznych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30,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usług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edukacyjnych 31, innych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usług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nieskategoryzowanych - 1079. 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2" w:right="838" w:hanging="284"/>
        <w:jc w:val="both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2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pacing w:val="-3"/>
          <w:sz w:val="22"/>
          <w:szCs w:val="22"/>
          <w:lang w:val="pl-PL"/>
        </w:rPr>
        <w:t>Informacja o </w:t>
      </w:r>
      <w:r>
        <w:rPr baseline="0" dirty="0">
          <w:rFonts w:ascii="Trebuchet MS" w:hAnsi="Trebuchet MS" w:cs="Trebuchet MS"/>
          <w:b/>
          <w:bCs/>
          <w:color w:val="020202"/>
          <w:spacing w:val="-1"/>
          <w:sz w:val="22"/>
          <w:szCs w:val="22"/>
          <w:lang w:val="pl-PL"/>
        </w:rPr>
        <w:t>powtarzających</w:t>
      </w:r>
      <w:r>
        <w:rPr baseline="0" dirty="0">
          <w:rFonts w:ascii="Trebuchet MS" w:hAnsi="Trebuchet MS" w:cs="Trebuchet MS"/>
          <w:b/>
          <w:bCs/>
          <w:color w:val="020202"/>
          <w:spacing w:val="-1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b/>
          <w:bCs/>
          <w:color w:val="020202"/>
          <w:spacing w:val="-2"/>
          <w:sz w:val="22"/>
          <w:szCs w:val="22"/>
          <w:lang w:val="pl-PL"/>
        </w:rPr>
        <w:t> lub istotnych problemach, które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prowadzą</w:t>
      </w:r>
      <w:r>
        <w:rPr baseline="0" dirty="0">
          <w:rFonts w:ascii="Trebuchet MS" w:hAnsi="Trebuchet MS" w:cs="Trebuchet MS"/>
          <w:b/>
          <w:bCs/>
          <w:color w:val="020202"/>
          <w:spacing w:val="-5"/>
          <w:sz w:val="22"/>
          <w:szCs w:val="22"/>
          <w:lang w:val="pl-PL"/>
        </w:rPr>
        <w:t> do sporów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konsumenckich,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której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mogą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być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dołączone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zalecenia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dotyczące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unikania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7"/>
          <w:sz w:val="22"/>
          <w:szCs w:val="22"/>
          <w:lang w:val="pl-PL"/>
        </w:rPr>
        <w:t>lub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takich problemów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5" w:h="16838"/>
          <w:pgMar w:top="343" w:right="500" w:bottom="275" w:left="500" w:header="708" w:footer="708" w:gutter="0"/>
          <w:docGrid w:linePitch="360"/>
        </w:sectPr>
        <w:spacing w:before="107" w:after="0" w:line="293" w:lineRule="exact"/>
        <w:ind w:left="1181" w:right="838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analizy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przesyłanych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wojewódzkie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inspektoraty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Inspekcji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Handlowej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wynika,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że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spory w znacznej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części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problemów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związanych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z: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9" w:after="0" w:line="255" w:lineRule="exact"/>
        <w:ind w:left="1465" w:right="0" w:firstLine="0"/>
      </w:pPr>
      <w:r/>
      <w:r>
        <w:rPr baseline="0" dirty="0">
          <w:rFonts w:ascii="Trebuchet MS" w:hAnsi="Trebuchet MS" w:cs="Trebuchet MS"/>
          <w:color w:val="020202"/>
          <w:spacing w:val="-11"/>
          <w:sz w:val="22"/>
          <w:szCs w:val="22"/>
          <w:lang w:val="pl-PL"/>
        </w:rPr>
        <w:t>a)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1465" w:right="0" w:firstLine="0"/>
      </w:pPr>
      <w:r/>
      <w:r>
        <w:rPr baseline="0" dirty="0">
          <w:rFonts w:ascii="Trebuchet MS" w:hAnsi="Trebuchet MS" w:cs="Trebuchet MS"/>
          <w:color w:val="020202"/>
          <w:spacing w:val="-11"/>
          <w:sz w:val="22"/>
          <w:szCs w:val="22"/>
          <w:lang w:val="pl-PL"/>
        </w:rPr>
        <w:t>b)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1465" w:right="0" w:firstLine="0"/>
      </w:pPr>
      <w:r/>
      <w:r>
        <w:rPr baseline="0" dirty="0">
          <w:rFonts w:ascii="Trebuchet MS" w:hAnsi="Trebuchet MS" w:cs="Trebuchet MS"/>
          <w:color w:val="020202"/>
          <w:spacing w:val="-11"/>
          <w:sz w:val="22"/>
          <w:szCs w:val="22"/>
          <w:lang w:val="pl-PL"/>
        </w:rPr>
        <w:t>c)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1465" w:right="0" w:firstLine="0"/>
      </w:pPr>
      <w:r/>
      <w:r>
        <w:rPr baseline="0" dirty="0">
          <w:rFonts w:ascii="Trebuchet MS" w:hAnsi="Trebuchet MS" w:cs="Trebuchet MS"/>
          <w:color w:val="020202"/>
          <w:spacing w:val="-11"/>
          <w:sz w:val="22"/>
          <w:szCs w:val="22"/>
          <w:lang w:val="pl-PL"/>
        </w:rPr>
        <w:t>d)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6" w:after="0" w:line="293" w:lineRule="exact"/>
        <w:ind w:left="0" w:right="-4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odmową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uznania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roszczeń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konsumentów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tytułu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rękojmi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czy gwarancji, czy </w:t>
      </w:r>
      <w:r>
        <w:rPr baseline="0" dirty="0">
          <w:rFonts w:ascii="Trebuchet MS" w:hAnsi="Trebuchet MS" w:cs="Trebuchet MS"/>
          <w:color w:val="020202"/>
          <w:spacing w:val="-7"/>
          <w:sz w:val="22"/>
          <w:szCs w:val="22"/>
          <w:lang w:val="pl-PL"/>
        </w:rPr>
        <w:t>też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nieterminowym jej rozpatrzeniem, 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93" w:lineRule="exact"/>
        <w:ind w:left="0" w:right="-40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nienależytym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wykonaniem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umów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dzieło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albo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wykonaniem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usług,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niezgodnością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towaru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umową,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niedotrzymaniem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terminów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wykonania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usługi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określonej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w umowie,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93" w:lineRule="exact"/>
        <w:ind w:left="0" w:right="-4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nieuznaniem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odstąpienia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umów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zawartych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odległość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lub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poza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lokalem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przedsiębiorstwa,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5" w:h="16838"/>
          <w:pgMar w:top="343" w:right="500" w:bottom="275" w:left="500" w:header="708" w:footer="708" w:gutter="0"/>
          <w:cols w:num="2" w:space="0" w:equalWidth="0">
            <w:col w:w="1728" w:space="182"/>
            <w:col w:w="8116" w:space="0"/>
          </w:cols>
          <w:docGrid w:linePitch="360"/>
        </w:sectPr>
        <w:spacing w:before="125" w:after="0" w:line="293" w:lineRule="exact"/>
        <w:ind w:left="0" w:right="-4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niedostateczną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znajomością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przepisów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regulujących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sprzedaż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konsumencką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oraz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brakiem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świadomości,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że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gwarancja nie jest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tożsama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rękojmią.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5" w:h="16838"/>
          <w:pgMar w:top="343" w:right="500" w:bottom="275" w:left="500" w:header="708" w:footer="708" w:gutter="0"/>
          <w:docGrid w:linePitch="360"/>
        </w:sectPr>
        <w:spacing w:before="126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roku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2024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r.,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jak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latach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poprzednich,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utrzymała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tendencja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wzrostowa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liczby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dotyczących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umów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sprzedaży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zawieranych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odległość.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przypadku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prowadzących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sklepy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internetowe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dotyczyły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stwierdzenia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większości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błędnej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informacji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cenowej,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odmowę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zwrotu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kosztów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dostarczenia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towaru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odstąpienia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umowy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bez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podania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przyczyny,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nieprawidłowym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spełnieniem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wymaga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ń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informacyjnych.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stronie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konsumentów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dalszym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ciągu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daje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zauważyć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brak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znajomości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obowiązujących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przepisów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związanych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ochroną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praw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konsumentów,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brak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pełnego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zrozumienia lub zapoznania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pacing w:val="-7"/>
          <w:sz w:val="22"/>
          <w:szCs w:val="22"/>
          <w:lang w:val="pl-PL"/>
        </w:rPr>
        <w:t>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treścią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 zawieranych umów, zbyt wygórowane roszczenia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odniesieniu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ujawnionych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wad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rzeczy.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częstych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należy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odmowa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uznania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roszczeń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przez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uzasadniana nieprzestrzeganiem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zaleceń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co do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sposobu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użytkowania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 konserwacji wyrobu. 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  <w:jc w:val="both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 stronie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przedsiębiorców,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można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natomiast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zaobserwować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świadome</w:t>
      </w:r>
      <w:r>
        <w:rPr baseline="0" dirty="0">
          <w:rFonts w:ascii="Trebuchet MS" w:hAnsi="Trebuchet MS" w:cs="Trebuchet MS"/>
          <w:color w:val="020202"/>
          <w:spacing w:val="-1"/>
          <w:sz w:val="22"/>
          <w:szCs w:val="22"/>
          <w:lang w:val="pl-PL"/>
        </w:rPr>
        <w:t> próby cedowania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odpowiedzialności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kwestionowaną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jakość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towaru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producentów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lub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dostawców,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pacing w:val="-1"/>
          <w:sz w:val="22"/>
          <w:szCs w:val="22"/>
          <w:lang w:val="pl-PL"/>
        </w:rPr>
        <w:t>nierzetelne i nieterminowe realizowanie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przyjętych</w:t>
      </w:r>
      <w:r>
        <w:rPr baseline="0" dirty="0">
          <w:rFonts w:ascii="Trebuchet MS" w:hAnsi="Trebuchet MS" w:cs="Trebuchet MS"/>
          <w:color w:val="020202"/>
          <w:spacing w:val="-7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usług.</w:t>
      </w:r>
      <w:r>
        <w:rPr baseline="0" dirty="0">
          <w:rFonts w:ascii="Arial" w:hAnsi="Arial" w:cs="Arial"/>
          <w:color w:val="020202"/>
          <w:spacing w:val="-7"/>
          <w:sz w:val="24"/>
          <w:szCs w:val="24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W przypadku sieci handlowych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realizacja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uzyskanego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procedurze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reklamacyjnej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roszczenia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odstąpienia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umowy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odbywa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poprzez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zwrot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gotówki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albo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formie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bonu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towarowego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realizacji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sklepie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sieci.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uznanej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wymiany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braku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produktu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identycznego,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skłaniają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konsumentów do wybrania z oferty innego towaru.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2" w:right="838" w:hanging="284"/>
        <w:jc w:val="both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3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Informacja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sporach,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których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rozpatrzenia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podmiot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uprawniony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 </w:t>
      </w:r>
      <w:r>
        <w:rPr baseline="0" dirty="0">
          <w:rFonts w:ascii="Trebuchet MS" w:hAnsi="Trebuchet MS" w:cs="Trebuchet MS"/>
          <w:b/>
          <w:bCs/>
          <w:color w:val="020202"/>
          <w:spacing w:val="-3"/>
          <w:sz w:val="22"/>
          <w:szCs w:val="22"/>
          <w:lang w:val="pl-PL"/>
        </w:rPr>
        <w:t>odmówił,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stosunku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do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liczby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złożonych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wniosków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wszczęcie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3"/>
          <w:sz w:val="22"/>
          <w:szCs w:val="22"/>
          <w:lang w:val="pl-PL"/>
        </w:rPr>
        <w:t>sprawie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pozasądowego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sporów konsumenckich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przypadku,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gdy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wnioskodawcą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był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konsument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4 795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podmiot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odmówił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zajęcia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sprawą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w 123 przypadkach. I tak: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2"/>
        </w:tabs>
        <w:spacing w:before="140" w:after="0" w:line="255" w:lineRule="exact"/>
        <w:ind w:left="1527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	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 113 przypadkach przedmiot sporu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wykraczał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poza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kategorię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sporów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objętych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5" w:lineRule="exact"/>
        <w:ind w:left="2032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właściwością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Inspekcji Handlowej,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2"/>
        </w:tabs>
        <w:spacing w:before="140" w:after="0" w:line="255" w:lineRule="exact"/>
        <w:ind w:left="1527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	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w 3 przypadkach wnioskodawca nie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podjął,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przed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złożeniem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wniosku o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wszczęcie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2032" w:right="838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 sprawie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pozasądowego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sporów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konsumenckich,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próby kontaktu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drugą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stroną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bezpośredniego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rozwiązania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sporu,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2"/>
        </w:tabs>
        <w:spacing w:before="140" w:after="0" w:line="255" w:lineRule="exact"/>
        <w:ind w:left="1527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	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3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przypadkach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rozpatrzenie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sporu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spowodowałoby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poważne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zakłócenie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5" w:lineRule="exact"/>
        <w:ind w:left="2032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działania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Inspekcji Handlowej,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2"/>
        </w:tabs>
        <w:spacing w:before="140" w:after="0" w:line="255" w:lineRule="exact"/>
        <w:ind w:left="1527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	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w 3 przypadkach sprawa o to samo roszczenie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między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 tymi samymi stronami </w:t>
      </w:r>
      <w:r>
        <w:rPr baseline="0" dirty="0">
          <w:rFonts w:ascii="Trebuchet MS" w:hAnsi="Trebuchet MS" w:cs="Trebuchet MS"/>
          <w:color w:val="020202"/>
          <w:spacing w:val="-6"/>
          <w:sz w:val="22"/>
          <w:szCs w:val="22"/>
          <w:lang w:val="pl-PL"/>
        </w:rPr>
        <w:t>była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2032" w:right="838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toku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albo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została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już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rozpatrzona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przez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Inspekcję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Handlową,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stały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7"/>
          <w:sz w:val="22"/>
          <w:szCs w:val="22"/>
          <w:lang w:val="pl-PL"/>
        </w:rPr>
        <w:t>sąd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polubowny, inny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właściwy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podmiot albo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sąd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powszechny,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32"/>
        </w:tabs>
        <w:spacing w:before="140" w:after="0" w:line="255" w:lineRule="exact"/>
        <w:ind w:left="1607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	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 1 przypadku spór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był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błahy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(wartość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sporu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wynosiła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1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zł).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101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W przypadku, gdy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wnioskodawcą</w:t>
      </w:r>
      <w:r>
        <w:rPr baseline="0" dirty="0">
          <w:rFonts w:ascii="Trebuchet MS" w:hAnsi="Trebuchet MS" w:cs="Trebuchet MS"/>
          <w:color w:val="020202"/>
          <w:spacing w:val="-9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był</w:t>
      </w:r>
      <w:r>
        <w:rPr baseline="0" dirty="0">
          <w:rFonts w:ascii="Trebuchet MS" w:hAnsi="Trebuchet MS" w:cs="Trebuchet MS"/>
          <w:color w:val="020202"/>
          <w:spacing w:val="-9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przedsiębiorca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- w odniesieniu do 10 wniosków organ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181" w:right="838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odmówił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zajęcia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sprawą,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ponieważ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przedmiot sporu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wykraczał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poza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kategorię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sporów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objętych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właściwością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Inspekcji Handlowej.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2" w:right="838" w:hanging="284"/>
        <w:jc w:val="both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4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Informacja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udziale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postępowań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sprawie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pozasądowego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4"/>
          <w:sz w:val="22"/>
          <w:szCs w:val="22"/>
          <w:lang w:val="pl-PL"/>
        </w:rPr>
        <w:t>sporów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konsumenckich, które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zakończono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przed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osiągnięciem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wyniku, w stosunku do liczby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wszczętych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postępowań,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a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także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powody takiego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zakończenia,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o ile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są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znane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93" w:lineRule="exact"/>
        <w:ind w:left="1181" w:right="838" w:firstLine="0"/>
      </w:pPr>
      <w:r/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W przypadku</w:t>
      </w:r>
      <w:r>
        <w:rPr baseline="0" dirty="0">
          <w:rFonts w:ascii="Trebuchet MS" w:hAnsi="Trebuchet MS" w:cs="Trebuchet MS"/>
          <w:b/>
          <w:bCs/>
          <w:color w:val="020202"/>
          <w:spacing w:val="-4"/>
          <w:sz w:val="22"/>
          <w:szCs w:val="22"/>
          <w:lang w:val="pl-PL"/>
        </w:rPr>
        <w:t> 2 980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 spraw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color w:val="020202"/>
          <w:spacing w:val="-11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zakończyły</w:t>
      </w:r>
      <w:r>
        <w:rPr baseline="0" dirty="0">
          <w:rFonts w:ascii="Trebuchet MS" w:hAnsi="Trebuchet MS" w:cs="Trebuchet MS"/>
          <w:color w:val="020202"/>
          <w:spacing w:val="-1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 przed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osiągnięciem</w:t>
      </w:r>
      <w:r>
        <w:rPr baseline="0" dirty="0">
          <w:rFonts w:ascii="Trebuchet MS" w:hAnsi="Trebuchet MS" w:cs="Trebuchet MS"/>
          <w:color w:val="020202"/>
          <w:spacing w:val="-4"/>
          <w:sz w:val="22"/>
          <w:szCs w:val="22"/>
          <w:lang w:val="pl-PL"/>
        </w:rPr>
        <w:t> wyniku, w tym</w:t>
      </w:r>
      <w:r>
        <w:rPr>
          <w:rFonts w:ascii="Times New Roman" w:hAnsi="Times New Roman" w:cs="Times New Roman"/>
          <w:sz w:val="22"/>
          <w:szCs w:val="22"/>
        </w:rPr>
        <w:t> </w:t>
      </w:r>
      <w:r/>
      <w:hyperlink r:id="rId102" w:history="1">
        <w:r>
          <w:rPr baseline="0" dirty="0">
            <w:rFonts w:ascii="Trebuchet MS" w:hAnsi="Trebuchet MS" w:cs="Trebuchet MS"/>
            <w:color w:val="020202"/>
            <w:sz w:val="22"/>
            <w:szCs w:val="22"/>
            <w:lang w:val="pl-PL"/>
          </w:rPr>
          <w:t>m.in.: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181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406 spraw przekazano zgodnie z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właściwością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do innego WIIH,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5" w:h="16838"/>
          <w:pgMar w:top="343" w:right="500" w:bottom="275" w:left="500" w:header="708" w:footer="708" w:gutter="0"/>
          <w:docGrid w:linePitch="360"/>
        </w:sectPr>
        <w:spacing w:before="0" w:after="0" w:line="208" w:lineRule="exact"/>
        <w:ind w:left="5385" w:right="0" w:firstLine="0"/>
      </w:pPr>
      <w:r/>
      <w:r>
        <w:rPr baseline="0" dirty="0">
          <w:rFonts w:ascii="Trebuchet MS" w:hAnsi="Trebuchet MS" w:cs="Trebuchet MS"/>
          <w:color w:val="020202"/>
          <w:spacing w:val="-21"/>
          <w:sz w:val="18"/>
          <w:szCs w:val="18"/>
          <w:lang w:val="pl-PL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384" w:right="918" w:hanging="282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616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dotyczyło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spraw,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których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druga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strona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sporu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odmówiła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wzięcia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udziału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color w:val="020202"/>
          <w:spacing w:val="-8"/>
          <w:sz w:val="22"/>
          <w:szCs w:val="22"/>
          <w:lang w:val="pl-PL"/>
        </w:rPr>
        <w:t>w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postępowaniu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(wnioski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składane</w:t>
      </w:r>
      <w:r>
        <w:rPr baseline="0" dirty="0">
          <w:rFonts w:ascii="Trebuchet MS" w:hAnsi="Trebuchet MS" w:cs="Trebuchet MS"/>
          <w:color w:val="020202"/>
          <w:spacing w:val="-3"/>
          <w:sz w:val="22"/>
          <w:szCs w:val="22"/>
          <w:lang w:val="pl-PL"/>
        </w:rPr>
        <w:t> zarówno przez konsumentów jak i </w:t>
      </w:r>
      <w:r>
        <w:rPr baseline="0" dirty="0">
          <w:rFonts w:ascii="Trebuchet MS" w:hAnsi="Trebuchet MS" w:cs="Trebuchet MS"/>
          <w:color w:val="020202"/>
          <w:spacing w:val="-2"/>
          <w:sz w:val="22"/>
          <w:szCs w:val="22"/>
          <w:lang w:val="pl-PL"/>
        </w:rPr>
        <w:t>przedsiębiorców),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181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58 sprawy, gdy konsument nie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zgodził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się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na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propozycję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przedsiębiorcy,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181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-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16 spraw przekazano innym organom, ze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względu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na brak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właściwości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rzeczowej.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898" w:right="0" w:firstLine="0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5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Informacje w przedmiocie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średniego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czasu trwania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postępowania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101" w:right="918" w:firstLine="0"/>
        <w:jc w:val="right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Średni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czas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w sprawie polubownego rozpatrywania sporów konsumenckich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55" w:lineRule="exact"/>
        <w:ind w:left="1181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wynosił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ok.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33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dni.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898" w:right="0" w:firstLine="0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6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.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Informacja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współpracy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podmiotów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ramach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sieci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podmiotów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 </w:t>
      </w:r>
      <w:r>
        <w:rPr baseline="0" dirty="0">
          <w:rFonts w:ascii="Trebuchet MS" w:hAnsi="Trebuchet MS" w:cs="Trebuchet MS"/>
          <w:b/>
          <w:bCs/>
          <w:color w:val="020202"/>
          <w:spacing w:val="-2"/>
          <w:sz w:val="22"/>
          <w:szCs w:val="22"/>
          <w:lang w:val="pl-PL"/>
        </w:rPr>
        <w:t>prowadzących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182" w:right="838" w:firstLine="0"/>
        <w:jc w:val="both"/>
      </w:pP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postępowania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pozasądowego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rozwiązywania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sporów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konsumenckich,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 </w:t>
      </w:r>
      <w:r>
        <w:rPr baseline="0" dirty="0">
          <w:rFonts w:ascii="Trebuchet MS" w:hAnsi="Trebuchet MS" w:cs="Trebuchet MS"/>
          <w:b/>
          <w:bCs/>
          <w:color w:val="020202"/>
          <w:spacing w:val="-2"/>
          <w:sz w:val="22"/>
          <w:szCs w:val="22"/>
          <w:lang w:val="pl-PL"/>
        </w:rPr>
        <w:t>ułatwiających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rozwiązywanie</w:t>
      </w:r>
      <w:r>
        <w:rPr baseline="0" dirty="0">
          <w:rFonts w:ascii="Trebuchet MS" w:hAnsi="Trebuchet MS" w:cs="Trebuchet MS"/>
          <w:b/>
          <w:bCs/>
          <w:color w:val="020202"/>
          <w:spacing w:val="-1"/>
          <w:sz w:val="22"/>
          <w:szCs w:val="22"/>
          <w:lang w:val="pl-PL"/>
        </w:rPr>
        <w:t> sporów transgranicznych,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jeżeli</w:t>
      </w:r>
      <w:r>
        <w:rPr baseline="0" dirty="0">
          <w:rFonts w:ascii="Trebuchet MS" w:hAnsi="Trebuchet MS" w:cs="Trebuchet MS"/>
          <w:b/>
          <w:bCs/>
          <w:color w:val="020202"/>
          <w:spacing w:val="-1"/>
          <w:sz w:val="22"/>
          <w:szCs w:val="22"/>
          <w:lang w:val="pl-PL"/>
        </w:rPr>
        <w:t> podmiot uprawniony </w:t>
      </w:r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należy</w:t>
      </w:r>
      <w:r>
        <w:rPr baseline="0" dirty="0">
          <w:rFonts w:ascii="Trebuchet MS" w:hAnsi="Trebuchet MS" w:cs="Trebuchet MS"/>
          <w:b/>
          <w:bCs/>
          <w:color w:val="020202"/>
          <w:spacing w:val="-3"/>
          <w:sz w:val="22"/>
          <w:szCs w:val="22"/>
          <w:lang w:val="pl-PL"/>
        </w:rPr>
        <w:t> do takiej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rebuchet MS" w:hAnsi="Trebuchet MS" w:cs="Trebuchet MS"/>
          <w:b/>
          <w:bCs/>
          <w:color w:val="020202"/>
          <w:sz w:val="22"/>
          <w:szCs w:val="22"/>
          <w:lang w:val="pl-PL"/>
        </w:rPr>
        <w:t>sieci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55" w:lineRule="exact"/>
        <w:ind w:left="1039" w:right="0" w:firstLine="0"/>
      </w:pPr>
      <w:r/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Europejskie Centrum Konsumenckie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przekazało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 do Inspekcji Handlowe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j  </w:t>
      </w:r>
      <w:r>
        <w:rPr baseline="0" dirty="0">
          <w:rFonts w:ascii="Trebuchet MS" w:hAnsi="Trebuchet MS" w:cs="Trebuchet MS"/>
          <w:color w:val="020202"/>
          <w:sz w:val="22"/>
          <w:szCs w:val="22"/>
          <w:lang w:val="pl-PL"/>
        </w:rPr>
        <w:t>28 wniosków.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5" w:h="16838"/>
          <w:pgMar w:top="343" w:right="500" w:bottom="275" w:left="500" w:header="708" w:footer="708" w:gutter="0"/>
          <w:docGrid w:linePitch="360"/>
        </w:sectPr>
        <w:spacing w:before="0" w:after="0" w:line="208" w:lineRule="exact"/>
        <w:ind w:left="5385" w:right="0" w:firstLine="0"/>
      </w:pPr>
      <w:r/>
      <w:r>
        <w:rPr baseline="0" dirty="0">
          <w:rFonts w:ascii="Trebuchet MS" w:hAnsi="Trebuchet MS" w:cs="Trebuchet MS"/>
          <w:color w:val="020202"/>
          <w:spacing w:val="-21"/>
          <w:sz w:val="18"/>
          <w:szCs w:val="18"/>
          <w:lang w:val="pl-PL"/>
        </w:rPr>
        <w:t>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05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hyperlink" TargetMode="External" Target="http://m.in.: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2025-04-30T06:36:37Z</dcterms:created>
  <dcterms:modified xsi:type="dcterms:W3CDTF">2025-04-30T06:36:37Z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